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B9" w:rsidRPr="0054233B" w:rsidRDefault="00381769" w:rsidP="005E183F">
      <w:pPr>
        <w:spacing w:after="0"/>
        <w:ind w:left="6372" w:hanging="1416"/>
        <w:rPr>
          <w:rFonts w:ascii="Garamond" w:hAnsi="Garamond"/>
        </w:rPr>
      </w:pPr>
      <w:proofErr w:type="spellStart"/>
      <w:r w:rsidRPr="0054233B">
        <w:rPr>
          <w:rFonts w:ascii="Garamond" w:hAnsi="Garamond" w:cs="Arial"/>
          <w:i/>
        </w:rPr>
        <w:t>Spett.le</w:t>
      </w:r>
      <w:proofErr w:type="spellEnd"/>
      <w:r w:rsidRPr="0054233B">
        <w:rPr>
          <w:rFonts w:ascii="Garamond" w:hAnsi="Garamond" w:cs="Arial"/>
          <w:i/>
        </w:rPr>
        <w:t xml:space="preserve"> </w:t>
      </w:r>
      <w:r w:rsidR="00AB50B9" w:rsidRPr="0054233B">
        <w:rPr>
          <w:rFonts w:ascii="Garamond" w:hAnsi="Garamond" w:cs="Arial"/>
          <w:i/>
        </w:rPr>
        <w:tab/>
      </w:r>
      <w:r w:rsidR="00AB50B9" w:rsidRPr="0054233B">
        <w:rPr>
          <w:rFonts w:ascii="Garamond" w:hAnsi="Garamond" w:cs="Arial"/>
        </w:rPr>
        <w:t>Stazione Unica Appaltante della Città Metropolitana di Reggio Calabria</w:t>
      </w:r>
    </w:p>
    <w:p w:rsidR="00AB50B9" w:rsidRPr="0054233B" w:rsidRDefault="00AB50B9" w:rsidP="00E302A8">
      <w:pPr>
        <w:spacing w:after="0"/>
        <w:jc w:val="both"/>
        <w:rPr>
          <w:rFonts w:ascii="Garamond" w:hAnsi="Garamond"/>
        </w:rPr>
      </w:pPr>
      <w:r w:rsidRPr="0054233B">
        <w:rPr>
          <w:rFonts w:ascii="Garamond" w:hAnsi="Garamond"/>
          <w:b/>
        </w:rPr>
        <w:tab/>
      </w:r>
      <w:r w:rsidRPr="0054233B">
        <w:rPr>
          <w:rFonts w:ascii="Garamond" w:hAnsi="Garamond"/>
          <w:b/>
        </w:rPr>
        <w:tab/>
      </w:r>
      <w:r w:rsidRPr="0054233B">
        <w:rPr>
          <w:rFonts w:ascii="Garamond" w:hAnsi="Garamond"/>
          <w:b/>
        </w:rPr>
        <w:tab/>
      </w:r>
      <w:r w:rsidRPr="0054233B">
        <w:rPr>
          <w:rFonts w:ascii="Garamond" w:hAnsi="Garamond"/>
          <w:b/>
        </w:rPr>
        <w:tab/>
      </w:r>
      <w:r w:rsidRPr="0054233B">
        <w:rPr>
          <w:rFonts w:ascii="Garamond" w:hAnsi="Garamond"/>
          <w:b/>
        </w:rPr>
        <w:tab/>
      </w:r>
      <w:r w:rsidRPr="0054233B">
        <w:rPr>
          <w:rFonts w:ascii="Garamond" w:hAnsi="Garamond"/>
          <w:b/>
        </w:rPr>
        <w:tab/>
      </w:r>
      <w:r w:rsidRPr="0054233B">
        <w:rPr>
          <w:rFonts w:ascii="Garamond" w:hAnsi="Garamond"/>
          <w:b/>
        </w:rPr>
        <w:tab/>
      </w:r>
      <w:r w:rsidRPr="0054233B">
        <w:rPr>
          <w:rFonts w:ascii="Garamond" w:hAnsi="Garamond"/>
          <w:b/>
        </w:rPr>
        <w:tab/>
      </w:r>
      <w:r w:rsidRPr="0054233B">
        <w:rPr>
          <w:rFonts w:ascii="Garamond" w:hAnsi="Garamond"/>
          <w:b/>
        </w:rPr>
        <w:tab/>
      </w:r>
      <w:r w:rsidR="00E302A8" w:rsidRPr="0054233B">
        <w:rPr>
          <w:rFonts w:ascii="Garamond" w:hAnsi="Garamond"/>
        </w:rPr>
        <w:t xml:space="preserve">Pec: </w:t>
      </w:r>
      <w:hyperlink r:id="rId6" w:history="1">
        <w:r w:rsidR="007D02B9" w:rsidRPr="0054233B">
          <w:rPr>
            <w:rStyle w:val="Collegamentoipertestuale"/>
            <w:rFonts w:ascii="Garamond" w:hAnsi="Garamond"/>
          </w:rPr>
          <w:t>sua@pec.cittametropolitana.rc.it</w:t>
        </w:r>
      </w:hyperlink>
      <w:r w:rsidR="007D02B9" w:rsidRPr="0054233B">
        <w:rPr>
          <w:rFonts w:ascii="Garamond" w:hAnsi="Garamond"/>
        </w:rPr>
        <w:t xml:space="preserve"> </w:t>
      </w:r>
    </w:p>
    <w:p w:rsidR="00AB50B9" w:rsidRPr="0054233B" w:rsidRDefault="00AB50B9" w:rsidP="00AB50B9">
      <w:pPr>
        <w:pStyle w:val="Intestazione"/>
        <w:tabs>
          <w:tab w:val="clear" w:pos="4819"/>
          <w:tab w:val="clear" w:pos="9638"/>
        </w:tabs>
        <w:jc w:val="both"/>
        <w:rPr>
          <w:rFonts w:ascii="Garamond" w:hAnsi="Garamond"/>
          <w:sz w:val="22"/>
          <w:szCs w:val="22"/>
        </w:rPr>
      </w:pPr>
    </w:p>
    <w:p w:rsidR="00AB50B9" w:rsidRPr="0054233B" w:rsidRDefault="00AB50B9" w:rsidP="00AB50B9">
      <w:pPr>
        <w:pStyle w:val="Intestazione"/>
        <w:tabs>
          <w:tab w:val="clear" w:pos="4819"/>
          <w:tab w:val="clear" w:pos="9638"/>
        </w:tabs>
        <w:jc w:val="both"/>
        <w:rPr>
          <w:rFonts w:ascii="Garamond" w:hAnsi="Garamond"/>
          <w:b/>
          <w:sz w:val="22"/>
          <w:szCs w:val="22"/>
        </w:rPr>
      </w:pPr>
      <w:r w:rsidRPr="0054233B">
        <w:rPr>
          <w:rFonts w:ascii="Garamond" w:hAnsi="Garamond"/>
          <w:b/>
          <w:sz w:val="22"/>
          <w:szCs w:val="22"/>
        </w:rPr>
        <w:t>Oggetto: Richiesta di iscrizione nell’elenco dei componenti di commissioni giudicatrici e seggi di gare d’appalto per lavori, servizi e forniture ai sensi dell’art. 77 del D.L.vo n. 50/2017.</w:t>
      </w:r>
    </w:p>
    <w:p w:rsidR="00381769" w:rsidRPr="0054233B" w:rsidRDefault="00381769" w:rsidP="00381769">
      <w:pPr>
        <w:jc w:val="both"/>
        <w:rPr>
          <w:rFonts w:ascii="Garamond" w:hAnsi="Garamond"/>
          <w:b/>
        </w:rPr>
      </w:pPr>
    </w:p>
    <w:p w:rsidR="00925B0D" w:rsidRPr="0054233B" w:rsidRDefault="00925B0D" w:rsidP="005E183F">
      <w:pPr>
        <w:spacing w:after="0"/>
        <w:jc w:val="both"/>
        <w:rPr>
          <w:rFonts w:ascii="Garamond" w:hAnsi="Garamond"/>
        </w:rPr>
      </w:pPr>
      <w:r w:rsidRPr="0054233B">
        <w:rPr>
          <w:rFonts w:ascii="Garamond" w:hAnsi="Garamond"/>
        </w:rPr>
        <w:t>Il</w:t>
      </w:r>
      <w:r w:rsidR="00DF04CE">
        <w:rPr>
          <w:rFonts w:ascii="Garamond" w:hAnsi="Garamond"/>
        </w:rPr>
        <w:t>/La</w:t>
      </w:r>
      <w:r w:rsidRPr="0054233B">
        <w:rPr>
          <w:rFonts w:ascii="Garamond" w:hAnsi="Garamond"/>
        </w:rPr>
        <w:t xml:space="preserve"> sottoscritto</w:t>
      </w:r>
      <w:r w:rsidR="00DF04CE">
        <w:rPr>
          <w:rFonts w:ascii="Garamond" w:hAnsi="Garamond"/>
        </w:rPr>
        <w:t>/a</w:t>
      </w:r>
      <w:r w:rsidRPr="0054233B">
        <w:rPr>
          <w:rFonts w:ascii="Garamond" w:hAnsi="Garamond"/>
        </w:rPr>
        <w:t xml:space="preserve"> ________________________</w:t>
      </w:r>
      <w:r w:rsidR="005E183F" w:rsidRPr="0054233B">
        <w:rPr>
          <w:rFonts w:ascii="Garamond" w:hAnsi="Garamond"/>
        </w:rPr>
        <w:t>______</w:t>
      </w:r>
      <w:r w:rsidRPr="0054233B">
        <w:rPr>
          <w:rFonts w:ascii="Garamond" w:hAnsi="Garamond"/>
        </w:rPr>
        <w:t xml:space="preserve"> nato</w:t>
      </w:r>
      <w:r w:rsidR="00DF04CE">
        <w:rPr>
          <w:rFonts w:ascii="Garamond" w:hAnsi="Garamond"/>
        </w:rPr>
        <w:t>/a</w:t>
      </w:r>
      <w:r w:rsidRPr="0054233B">
        <w:rPr>
          <w:rFonts w:ascii="Garamond" w:hAnsi="Garamond"/>
        </w:rPr>
        <w:t xml:space="preserve"> a _________________</w:t>
      </w:r>
      <w:r w:rsidR="005E183F" w:rsidRPr="0054233B">
        <w:rPr>
          <w:rFonts w:ascii="Garamond" w:hAnsi="Garamond"/>
        </w:rPr>
        <w:t>___</w:t>
      </w:r>
      <w:r w:rsidRPr="0054233B">
        <w:rPr>
          <w:rFonts w:ascii="Garamond" w:hAnsi="Garamond"/>
        </w:rPr>
        <w:t xml:space="preserve"> il _____</w:t>
      </w:r>
      <w:r w:rsidR="00D20BDB" w:rsidRPr="0054233B">
        <w:rPr>
          <w:rFonts w:ascii="Garamond" w:hAnsi="Garamond"/>
        </w:rPr>
        <w:t>__</w:t>
      </w:r>
      <w:r w:rsidRPr="0054233B">
        <w:rPr>
          <w:rFonts w:ascii="Garamond" w:hAnsi="Garamond"/>
        </w:rPr>
        <w:t>__, residente in</w:t>
      </w:r>
    </w:p>
    <w:p w:rsidR="00925B0D" w:rsidRPr="0054233B" w:rsidRDefault="00925B0D" w:rsidP="005E183F">
      <w:pPr>
        <w:spacing w:after="0"/>
        <w:jc w:val="both"/>
        <w:rPr>
          <w:rFonts w:ascii="Garamond" w:hAnsi="Garamond"/>
        </w:rPr>
      </w:pPr>
      <w:r w:rsidRPr="0054233B">
        <w:rPr>
          <w:rFonts w:ascii="Garamond" w:hAnsi="Garamond"/>
        </w:rPr>
        <w:t>_______________</w:t>
      </w:r>
      <w:r w:rsidR="005E183F" w:rsidRPr="0054233B">
        <w:rPr>
          <w:rFonts w:ascii="Garamond" w:hAnsi="Garamond"/>
        </w:rPr>
        <w:t>____</w:t>
      </w:r>
      <w:r w:rsidRPr="0054233B">
        <w:rPr>
          <w:rFonts w:ascii="Garamond" w:hAnsi="Garamond"/>
        </w:rPr>
        <w:t xml:space="preserve"> Via _______________</w:t>
      </w:r>
      <w:r w:rsidR="005E183F" w:rsidRPr="0054233B">
        <w:rPr>
          <w:rFonts w:ascii="Garamond" w:hAnsi="Garamond"/>
        </w:rPr>
        <w:t>_________</w:t>
      </w:r>
      <w:r w:rsidRPr="0054233B">
        <w:rPr>
          <w:rFonts w:ascii="Garamond" w:hAnsi="Garamond"/>
        </w:rPr>
        <w:t xml:space="preserve">, </w:t>
      </w:r>
      <w:r w:rsidR="00E915BC" w:rsidRPr="0054233B">
        <w:rPr>
          <w:rFonts w:ascii="Garamond" w:hAnsi="Garamond"/>
        </w:rPr>
        <w:t>Codice Fiscale __________________</w:t>
      </w:r>
      <w:r w:rsidR="005E183F" w:rsidRPr="0054233B">
        <w:rPr>
          <w:rFonts w:ascii="Garamond" w:hAnsi="Garamond"/>
        </w:rPr>
        <w:t>_________</w:t>
      </w:r>
      <w:r w:rsidR="00E915BC" w:rsidRPr="0054233B">
        <w:rPr>
          <w:rFonts w:ascii="Garamond" w:hAnsi="Garamond"/>
        </w:rPr>
        <w:t xml:space="preserve">, </w:t>
      </w:r>
      <w:r w:rsidRPr="0054233B">
        <w:rPr>
          <w:rFonts w:ascii="Garamond" w:hAnsi="Garamond"/>
        </w:rPr>
        <w:t>telefono _______________</w:t>
      </w:r>
      <w:r w:rsidR="0054233B" w:rsidRPr="0054233B">
        <w:rPr>
          <w:rFonts w:ascii="Garamond" w:hAnsi="Garamond"/>
        </w:rPr>
        <w:t>____</w:t>
      </w:r>
      <w:r w:rsidRPr="0054233B">
        <w:rPr>
          <w:rFonts w:ascii="Garamond" w:hAnsi="Garamond"/>
        </w:rPr>
        <w:t xml:space="preserve"> </w:t>
      </w:r>
      <w:r w:rsidR="00D20BDB" w:rsidRPr="0054233B">
        <w:rPr>
          <w:rFonts w:ascii="Garamond" w:hAnsi="Garamond"/>
        </w:rPr>
        <w:t xml:space="preserve">, </w:t>
      </w:r>
      <w:r w:rsidR="0054233B" w:rsidRPr="0054233B">
        <w:rPr>
          <w:rFonts w:ascii="Garamond" w:hAnsi="Garamond"/>
        </w:rPr>
        <w:t>indirizzo pec</w:t>
      </w:r>
      <w:r w:rsidRPr="0054233B">
        <w:rPr>
          <w:rFonts w:ascii="Garamond" w:hAnsi="Garamond"/>
        </w:rPr>
        <w:t xml:space="preserve"> ______________</w:t>
      </w:r>
      <w:r w:rsidR="00D20BDB" w:rsidRPr="0054233B">
        <w:rPr>
          <w:rFonts w:ascii="Garamond" w:hAnsi="Garamond"/>
        </w:rPr>
        <w:t>_________________</w:t>
      </w:r>
      <w:r w:rsidRPr="0054233B">
        <w:rPr>
          <w:rFonts w:ascii="Garamond" w:hAnsi="Garamond"/>
        </w:rPr>
        <w:t>_____</w:t>
      </w:r>
      <w:r w:rsidR="005E183F" w:rsidRPr="0054233B">
        <w:rPr>
          <w:rFonts w:ascii="Garamond" w:hAnsi="Garamond"/>
        </w:rPr>
        <w:t>___</w:t>
      </w:r>
      <w:r w:rsidR="001F1978">
        <w:rPr>
          <w:rFonts w:ascii="Garamond" w:hAnsi="Garamond"/>
        </w:rPr>
        <w:t>________</w:t>
      </w:r>
      <w:r w:rsidRPr="0054233B">
        <w:rPr>
          <w:rFonts w:ascii="Garamond" w:hAnsi="Garamond"/>
        </w:rPr>
        <w:t xml:space="preserve">, </w:t>
      </w:r>
    </w:p>
    <w:p w:rsidR="0054233B" w:rsidRPr="0054233B" w:rsidRDefault="001F1978" w:rsidP="001F1978">
      <w:pPr>
        <w:autoSpaceDE w:val="0"/>
        <w:autoSpaceDN w:val="0"/>
        <w:adjustRightInd w:val="0"/>
        <w:spacing w:after="0" w:line="240" w:lineRule="auto"/>
        <w:jc w:val="both"/>
        <w:rPr>
          <w:rFonts w:ascii="Garamond" w:hAnsi="Garamond"/>
        </w:rPr>
      </w:pPr>
      <w:r>
        <w:rPr>
          <w:rFonts w:ascii="Garamond" w:hAnsi="Garamond"/>
        </w:rPr>
        <w:t xml:space="preserve">avendo preso visione del Regolamento </w:t>
      </w:r>
      <w:r w:rsidRPr="001F1978">
        <w:rPr>
          <w:rFonts w:ascii="Garamond" w:hAnsi="Garamond"/>
        </w:rPr>
        <w:t>di funzionamento della Commissioni giudicatrici e di</w:t>
      </w:r>
      <w:r>
        <w:rPr>
          <w:rFonts w:ascii="Garamond" w:hAnsi="Garamond"/>
        </w:rPr>
        <w:t xml:space="preserve"> </w:t>
      </w:r>
      <w:r w:rsidRPr="001F1978">
        <w:rPr>
          <w:rFonts w:ascii="Garamond" w:hAnsi="Garamond"/>
        </w:rPr>
        <w:t xml:space="preserve">seggi di gara della Stazione Unica Appaltante </w:t>
      </w:r>
      <w:r>
        <w:rPr>
          <w:rFonts w:ascii="Garamond" w:hAnsi="Garamond"/>
        </w:rPr>
        <w:t xml:space="preserve">della Città Metropolitana di Reggio Calabria approvato con Delibera del Sindaco Metropolitano n. 66 del 27/06/2019, </w:t>
      </w:r>
      <w:r w:rsidR="0054233B" w:rsidRPr="0054233B">
        <w:rPr>
          <w:rFonts w:ascii="Garamond" w:hAnsi="Garamond"/>
        </w:rPr>
        <w:t>in qualità di:</w:t>
      </w:r>
    </w:p>
    <w:p w:rsidR="0054233B" w:rsidRPr="0054233B" w:rsidRDefault="0054233B" w:rsidP="001F1978">
      <w:pPr>
        <w:spacing w:after="0"/>
        <w:jc w:val="both"/>
        <w:rPr>
          <w:rFonts w:ascii="Garamond" w:hAnsi="Garamond"/>
        </w:rPr>
      </w:pPr>
    </w:p>
    <w:tbl>
      <w:tblPr>
        <w:tblW w:w="9633" w:type="dxa"/>
        <w:tblInd w:w="-5" w:type="dxa"/>
        <w:shd w:val="clear" w:color="auto" w:fill="FFFFFF"/>
        <w:tblCellMar>
          <w:top w:w="15" w:type="dxa"/>
          <w:left w:w="15" w:type="dxa"/>
          <w:bottom w:w="15" w:type="dxa"/>
          <w:right w:w="15" w:type="dxa"/>
        </w:tblCellMar>
        <w:tblLook w:val="04A0"/>
      </w:tblPr>
      <w:tblGrid>
        <w:gridCol w:w="253"/>
        <w:gridCol w:w="9380"/>
      </w:tblGrid>
      <w:tr w:rsidR="0054233B" w:rsidRPr="0054233B" w:rsidTr="0054233B">
        <w:tc>
          <w:tcPr>
            <w:tcW w:w="0" w:type="auto"/>
            <w:tcBorders>
              <w:top w:val="single" w:sz="8" w:space="0" w:color="000000"/>
              <w:left w:val="single" w:sz="8" w:space="0" w:color="000000"/>
              <w:bottom w:val="single" w:sz="8" w:space="0" w:color="000000"/>
              <w:right w:val="nil"/>
            </w:tcBorders>
            <w:shd w:val="clear" w:color="auto" w:fill="FFFFFF"/>
            <w:vAlign w:val="center"/>
            <w:hideMark/>
          </w:tcPr>
          <w:p w:rsidR="0054233B" w:rsidRPr="0054233B" w:rsidRDefault="0054233B" w:rsidP="0054233B">
            <w:pPr>
              <w:spacing w:after="0" w:line="240" w:lineRule="auto"/>
              <w:jc w:val="center"/>
              <w:rPr>
                <w:rFonts w:ascii="Garamond" w:eastAsia="Times New Roman" w:hAnsi="Garamond" w:cs="Calibri"/>
                <w:sz w:val="36"/>
                <w:szCs w:val="36"/>
              </w:rPr>
            </w:pPr>
            <w:r w:rsidRPr="0054233B">
              <w:rPr>
                <w:rFonts w:ascii="Garamond" w:eastAsia="Times New Roman" w:hAnsi="Garamond" w:cs="Calibri"/>
                <w:sz w:val="36"/>
                <w:szCs w:val="36"/>
              </w:rPr>
              <w:t>□</w:t>
            </w:r>
          </w:p>
        </w:tc>
        <w:tc>
          <w:tcPr>
            <w:tcW w:w="0" w:type="auto"/>
            <w:tcBorders>
              <w:top w:val="single" w:sz="8" w:space="0" w:color="000000"/>
              <w:bottom w:val="single" w:sz="8" w:space="0" w:color="000000"/>
              <w:right w:val="single" w:sz="8" w:space="0" w:color="000000"/>
            </w:tcBorders>
            <w:shd w:val="clear" w:color="auto" w:fill="FFFFFF"/>
            <w:hideMark/>
          </w:tcPr>
          <w:p w:rsidR="001F1978" w:rsidRDefault="0054233B" w:rsidP="001F1978">
            <w:pPr>
              <w:spacing w:after="0" w:line="240" w:lineRule="auto"/>
              <w:ind w:left="40"/>
              <w:jc w:val="both"/>
              <w:rPr>
                <w:rFonts w:ascii="Garamond" w:eastAsia="Times New Roman" w:hAnsi="Garamond" w:cs="Calibri"/>
              </w:rPr>
            </w:pPr>
            <w:r w:rsidRPr="0054233B">
              <w:rPr>
                <w:rFonts w:ascii="Garamond" w:eastAsia="Times New Roman" w:hAnsi="Garamond" w:cs="Calibri"/>
              </w:rPr>
              <w:t xml:space="preserve">professionista la cui attività è assoggettata all’obbligo di iscrizione in ordini o collegi </w:t>
            </w:r>
          </w:p>
          <w:p w:rsidR="0054233B" w:rsidRPr="001F1978" w:rsidRDefault="0054233B" w:rsidP="001F1978">
            <w:pPr>
              <w:spacing w:after="0" w:line="240" w:lineRule="auto"/>
              <w:ind w:left="40"/>
              <w:jc w:val="both"/>
              <w:rPr>
                <w:rFonts w:ascii="Garamond" w:eastAsia="Times New Roman" w:hAnsi="Garamond" w:cs="Calibri"/>
                <w:i/>
                <w:iCs/>
              </w:rPr>
            </w:pPr>
            <w:r w:rsidRPr="0054233B">
              <w:rPr>
                <w:rFonts w:ascii="Garamond" w:eastAsia="Times New Roman" w:hAnsi="Garamond" w:cs="Calibri"/>
              </w:rPr>
              <w:t>(</w:t>
            </w:r>
            <w:r w:rsidR="001F1978">
              <w:rPr>
                <w:rFonts w:ascii="Garamond" w:eastAsia="Times New Roman" w:hAnsi="Garamond" w:cs="Calibri"/>
                <w:i/>
                <w:iCs/>
              </w:rPr>
              <w:t>numero e data di  iscrizione)</w:t>
            </w:r>
            <w:r w:rsidRPr="0054233B">
              <w:rPr>
                <w:rFonts w:ascii="Garamond" w:eastAsia="Times New Roman" w:hAnsi="Garamond" w:cs="Calibri"/>
                <w:i/>
                <w:iCs/>
              </w:rPr>
              <w:t>:______________________________________________________</w:t>
            </w:r>
            <w:r w:rsidR="001F1978">
              <w:rPr>
                <w:rFonts w:ascii="Garamond" w:eastAsia="Times New Roman" w:hAnsi="Garamond" w:cs="Calibri"/>
                <w:i/>
                <w:iCs/>
              </w:rPr>
              <w:t>_______</w:t>
            </w:r>
          </w:p>
        </w:tc>
      </w:tr>
      <w:tr w:rsidR="0054233B" w:rsidRPr="0054233B" w:rsidTr="0054233B">
        <w:tc>
          <w:tcPr>
            <w:tcW w:w="0" w:type="auto"/>
            <w:tcBorders>
              <w:left w:val="single" w:sz="8" w:space="0" w:color="000000"/>
              <w:bottom w:val="single" w:sz="8" w:space="0" w:color="000000"/>
              <w:right w:val="nil"/>
            </w:tcBorders>
            <w:shd w:val="clear" w:color="auto" w:fill="FFFFFF"/>
            <w:vAlign w:val="center"/>
            <w:hideMark/>
          </w:tcPr>
          <w:p w:rsidR="0054233B" w:rsidRPr="0054233B" w:rsidRDefault="0054233B" w:rsidP="0054233B">
            <w:pPr>
              <w:spacing w:after="0" w:line="240" w:lineRule="auto"/>
              <w:jc w:val="center"/>
              <w:rPr>
                <w:rFonts w:ascii="Garamond" w:eastAsia="Times New Roman" w:hAnsi="Garamond" w:cs="Calibri"/>
                <w:sz w:val="36"/>
                <w:szCs w:val="36"/>
              </w:rPr>
            </w:pPr>
            <w:r w:rsidRPr="0054233B">
              <w:rPr>
                <w:rFonts w:ascii="Garamond" w:eastAsia="Times New Roman" w:hAnsi="Garamond" w:cs="Calibri"/>
                <w:sz w:val="36"/>
                <w:szCs w:val="36"/>
              </w:rPr>
              <w:t>□</w:t>
            </w:r>
          </w:p>
        </w:tc>
        <w:tc>
          <w:tcPr>
            <w:tcW w:w="0" w:type="auto"/>
            <w:tcBorders>
              <w:bottom w:val="single" w:sz="8" w:space="0" w:color="000000"/>
              <w:right w:val="single" w:sz="8" w:space="0" w:color="000000"/>
            </w:tcBorders>
            <w:shd w:val="clear" w:color="auto" w:fill="FFFFFF"/>
            <w:hideMark/>
          </w:tcPr>
          <w:p w:rsidR="0054233B" w:rsidRPr="0054233B" w:rsidRDefault="0054233B" w:rsidP="00DF04CE">
            <w:pPr>
              <w:spacing w:after="0" w:line="240" w:lineRule="auto"/>
              <w:ind w:left="40"/>
              <w:jc w:val="both"/>
              <w:rPr>
                <w:rFonts w:ascii="Garamond" w:eastAsia="Times New Roman" w:hAnsi="Garamond" w:cs="Calibri"/>
              </w:rPr>
            </w:pPr>
            <w:r w:rsidRPr="0054233B">
              <w:rPr>
                <w:rFonts w:ascii="Garamond" w:eastAsia="Times New Roman" w:hAnsi="Garamond" w:cs="Calibri"/>
              </w:rPr>
              <w:t xml:space="preserve">dipendente di amministrazioni </w:t>
            </w:r>
            <w:r w:rsidR="00DF04CE">
              <w:rPr>
                <w:rFonts w:ascii="Garamond" w:eastAsia="Times New Roman" w:hAnsi="Garamond" w:cs="Calibri"/>
              </w:rPr>
              <w:t xml:space="preserve">di cui all’art. 1 c. 2 del </w:t>
            </w:r>
            <w:proofErr w:type="spellStart"/>
            <w:r w:rsidR="00DF04CE">
              <w:rPr>
                <w:rFonts w:ascii="Garamond" w:eastAsia="Times New Roman" w:hAnsi="Garamond" w:cs="Calibri"/>
              </w:rPr>
              <w:t>D.Lgs</w:t>
            </w:r>
            <w:proofErr w:type="spellEnd"/>
            <w:r w:rsidR="00DF04CE">
              <w:rPr>
                <w:rFonts w:ascii="Garamond" w:eastAsia="Times New Roman" w:hAnsi="Garamond" w:cs="Calibri"/>
              </w:rPr>
              <w:t xml:space="preserve"> n. 165/2001 e </w:t>
            </w:r>
            <w:proofErr w:type="spellStart"/>
            <w:r w:rsidR="00DF04CE">
              <w:rPr>
                <w:rFonts w:ascii="Garamond" w:eastAsia="Times New Roman" w:hAnsi="Garamond" w:cs="Calibri"/>
              </w:rPr>
              <w:t>s.m.i.</w:t>
            </w:r>
            <w:proofErr w:type="spellEnd"/>
            <w:r w:rsidR="00DF04CE">
              <w:rPr>
                <w:rFonts w:ascii="Garamond" w:eastAsia="Times New Roman" w:hAnsi="Garamond" w:cs="Calibri"/>
              </w:rPr>
              <w:t xml:space="preserve"> </w:t>
            </w:r>
            <w:r w:rsidRPr="0054233B">
              <w:rPr>
                <w:rFonts w:ascii="Garamond" w:eastAsia="Times New Roman" w:hAnsi="Garamond" w:cs="Calibri"/>
                <w:i/>
                <w:iCs/>
              </w:rPr>
              <w:t>(nome della pubblica amministrazione</w:t>
            </w:r>
            <w:r w:rsidR="001F1978">
              <w:rPr>
                <w:rFonts w:ascii="Garamond" w:eastAsia="Times New Roman" w:hAnsi="Garamond" w:cs="Calibri"/>
                <w:i/>
                <w:iCs/>
              </w:rPr>
              <w:t xml:space="preserve">, tipo di contratto a tempo determinato o </w:t>
            </w:r>
            <w:proofErr w:type="spellStart"/>
            <w:r w:rsidR="001F1978">
              <w:rPr>
                <w:rFonts w:ascii="Garamond" w:eastAsia="Times New Roman" w:hAnsi="Garamond" w:cs="Calibri"/>
                <w:i/>
                <w:iCs/>
              </w:rPr>
              <w:t>inderteminato</w:t>
            </w:r>
            <w:proofErr w:type="spellEnd"/>
            <w:r w:rsidR="001F1978">
              <w:rPr>
                <w:rFonts w:ascii="Garamond" w:eastAsia="Times New Roman" w:hAnsi="Garamond" w:cs="Calibri"/>
                <w:i/>
                <w:iCs/>
              </w:rPr>
              <w:t>, part-time o full-time</w:t>
            </w:r>
            <w:r w:rsidRPr="0054233B">
              <w:rPr>
                <w:rFonts w:ascii="Garamond" w:eastAsia="Times New Roman" w:hAnsi="Garamond" w:cs="Calibri"/>
                <w:i/>
                <w:iCs/>
              </w:rPr>
              <w:t>: _____________________________</w:t>
            </w:r>
            <w:r w:rsidR="001F1978">
              <w:rPr>
                <w:rFonts w:ascii="Garamond" w:eastAsia="Times New Roman" w:hAnsi="Garamond" w:cs="Calibri"/>
                <w:i/>
                <w:iCs/>
              </w:rPr>
              <w:t>___________________________________________________</w:t>
            </w:r>
          </w:p>
        </w:tc>
      </w:tr>
      <w:tr w:rsidR="0054233B" w:rsidRPr="0054233B" w:rsidTr="0054233B">
        <w:tc>
          <w:tcPr>
            <w:tcW w:w="0" w:type="auto"/>
            <w:tcBorders>
              <w:left w:val="single" w:sz="8" w:space="0" w:color="000000"/>
              <w:bottom w:val="single" w:sz="8" w:space="0" w:color="000000"/>
              <w:right w:val="nil"/>
            </w:tcBorders>
            <w:shd w:val="clear" w:color="auto" w:fill="FFFFFF"/>
            <w:vAlign w:val="center"/>
            <w:hideMark/>
          </w:tcPr>
          <w:p w:rsidR="0054233B" w:rsidRPr="0054233B" w:rsidRDefault="0054233B" w:rsidP="0054233B">
            <w:pPr>
              <w:spacing w:after="0" w:line="240" w:lineRule="auto"/>
              <w:ind w:left="5"/>
              <w:rPr>
                <w:rFonts w:ascii="Garamond" w:eastAsia="Times New Roman" w:hAnsi="Garamond" w:cs="Calibri"/>
                <w:sz w:val="36"/>
                <w:szCs w:val="36"/>
              </w:rPr>
            </w:pPr>
            <w:r w:rsidRPr="0054233B">
              <w:rPr>
                <w:rFonts w:ascii="Garamond" w:eastAsia="Times New Roman" w:hAnsi="Garamond" w:cs="Calibri"/>
                <w:sz w:val="36"/>
                <w:szCs w:val="36"/>
              </w:rPr>
              <w:t>□</w:t>
            </w:r>
          </w:p>
        </w:tc>
        <w:tc>
          <w:tcPr>
            <w:tcW w:w="0" w:type="auto"/>
            <w:tcBorders>
              <w:bottom w:val="single" w:sz="8" w:space="0" w:color="000000"/>
              <w:right w:val="single" w:sz="8" w:space="0" w:color="000000"/>
            </w:tcBorders>
            <w:shd w:val="clear" w:color="auto" w:fill="FFFFFF"/>
            <w:hideMark/>
          </w:tcPr>
          <w:p w:rsidR="0054233B" w:rsidRPr="0054233B" w:rsidRDefault="0054233B" w:rsidP="00422D5D">
            <w:pPr>
              <w:spacing w:after="0" w:line="240" w:lineRule="auto"/>
              <w:ind w:left="40"/>
              <w:jc w:val="both"/>
              <w:rPr>
                <w:rFonts w:ascii="Garamond" w:eastAsia="Times New Roman" w:hAnsi="Garamond" w:cs="Calibri"/>
              </w:rPr>
            </w:pPr>
            <w:r w:rsidRPr="0054233B">
              <w:rPr>
                <w:rFonts w:ascii="Garamond" w:eastAsia="Times New Roman" w:hAnsi="Garamond" w:cs="Calibri"/>
              </w:rPr>
              <w:t>professore ordinario, professore associato, ricercatore delle Università italiane e posizioni assimilate</w:t>
            </w:r>
            <w:r w:rsidRPr="0054233B">
              <w:rPr>
                <w:rFonts w:ascii="Garamond" w:eastAsia="Times New Roman" w:hAnsi="Garamond" w:cs="Calibri"/>
                <w:i/>
                <w:iCs/>
              </w:rPr>
              <w:t>(nome dell’università e facoltà:_____________________________________________</w:t>
            </w:r>
            <w:r w:rsidR="001F1978">
              <w:rPr>
                <w:rFonts w:ascii="Garamond" w:eastAsia="Times New Roman" w:hAnsi="Garamond" w:cs="Calibri"/>
                <w:i/>
                <w:iCs/>
              </w:rPr>
              <w:t>____________________</w:t>
            </w:r>
          </w:p>
        </w:tc>
      </w:tr>
    </w:tbl>
    <w:p w:rsidR="00DF04CE" w:rsidRDefault="00DF04CE" w:rsidP="00FB1CB4">
      <w:pPr>
        <w:spacing w:line="240" w:lineRule="auto"/>
        <w:jc w:val="center"/>
        <w:rPr>
          <w:rFonts w:ascii="Garamond" w:hAnsi="Garamond"/>
          <w:b/>
        </w:rPr>
      </w:pPr>
    </w:p>
    <w:p w:rsidR="00925B0D" w:rsidRPr="0054233B" w:rsidRDefault="00925B0D" w:rsidP="00FB1CB4">
      <w:pPr>
        <w:spacing w:line="240" w:lineRule="auto"/>
        <w:jc w:val="center"/>
        <w:rPr>
          <w:rFonts w:ascii="Garamond" w:hAnsi="Garamond"/>
          <w:b/>
        </w:rPr>
      </w:pPr>
      <w:r w:rsidRPr="0054233B">
        <w:rPr>
          <w:rFonts w:ascii="Garamond" w:hAnsi="Garamond"/>
          <w:b/>
        </w:rPr>
        <w:t>CHIEDE</w:t>
      </w:r>
    </w:p>
    <w:p w:rsidR="00E915BC" w:rsidRPr="0054233B" w:rsidRDefault="00925B0D" w:rsidP="00735FFD">
      <w:pPr>
        <w:spacing w:line="240" w:lineRule="auto"/>
        <w:jc w:val="both"/>
        <w:rPr>
          <w:rFonts w:ascii="Garamond" w:hAnsi="Garamond"/>
        </w:rPr>
      </w:pPr>
      <w:r w:rsidRPr="0054233B">
        <w:rPr>
          <w:rFonts w:ascii="Garamond" w:hAnsi="Garamond"/>
        </w:rPr>
        <w:t>di essere inserito nell</w:t>
      </w:r>
      <w:r w:rsidR="00381769" w:rsidRPr="0054233B">
        <w:rPr>
          <w:rFonts w:ascii="Garamond" w:hAnsi="Garamond"/>
        </w:rPr>
        <w:t>’elenco</w:t>
      </w:r>
      <w:r w:rsidRPr="0054233B">
        <w:rPr>
          <w:rFonts w:ascii="Garamond" w:hAnsi="Garamond"/>
        </w:rPr>
        <w:t xml:space="preserve"> degli esperti per la costituzione delle Commissioni </w:t>
      </w:r>
      <w:r w:rsidR="007D02B9" w:rsidRPr="0054233B">
        <w:rPr>
          <w:rFonts w:ascii="Garamond" w:hAnsi="Garamond"/>
        </w:rPr>
        <w:t xml:space="preserve">giudicatrici di appalti nei seguenti </w:t>
      </w:r>
      <w:r w:rsidR="00DF04CE">
        <w:rPr>
          <w:rFonts w:ascii="Garamond" w:hAnsi="Garamond"/>
        </w:rPr>
        <w:t>ambiti</w:t>
      </w:r>
      <w:r w:rsidR="007D02B9" w:rsidRPr="0054233B">
        <w:rPr>
          <w:rFonts w:ascii="Garamond" w:hAnsi="Garamond"/>
        </w:rPr>
        <w:t>:</w:t>
      </w:r>
    </w:p>
    <w:p w:rsidR="007D02B9" w:rsidRPr="0054233B" w:rsidRDefault="007D02B9" w:rsidP="007D02B9">
      <w:pPr>
        <w:autoSpaceDE w:val="0"/>
        <w:autoSpaceDN w:val="0"/>
        <w:adjustRightInd w:val="0"/>
        <w:spacing w:after="0" w:line="240" w:lineRule="auto"/>
        <w:jc w:val="both"/>
        <w:rPr>
          <w:rFonts w:ascii="Garamond" w:hAnsi="Garamond" w:cs="Times-Roman"/>
        </w:rPr>
      </w:pPr>
      <w:r w:rsidRPr="001F1978">
        <w:rPr>
          <w:rFonts w:ascii="Garamond" w:hAnsi="Garamond" w:cs="Times-Roman"/>
          <w:sz w:val="28"/>
          <w:szCs w:val="28"/>
        </w:rPr>
        <w:t>□</w:t>
      </w:r>
      <w:r w:rsidRPr="0054233B">
        <w:rPr>
          <w:rFonts w:ascii="Garamond" w:hAnsi="Garamond" w:cs="Times-Roman"/>
        </w:rPr>
        <w:t xml:space="preserve">   ingegneristico relativamente alle categorie di opere di cui all'Allegato A) del D.P.R. 207/2010;</w:t>
      </w:r>
    </w:p>
    <w:p w:rsidR="007D02B9" w:rsidRPr="0054233B" w:rsidRDefault="007D02B9" w:rsidP="007D02B9">
      <w:pPr>
        <w:autoSpaceDE w:val="0"/>
        <w:autoSpaceDN w:val="0"/>
        <w:adjustRightInd w:val="0"/>
        <w:spacing w:after="0" w:line="240" w:lineRule="auto"/>
        <w:jc w:val="both"/>
        <w:rPr>
          <w:rFonts w:ascii="Garamond" w:hAnsi="Garamond" w:cs="Times-Roman"/>
        </w:rPr>
      </w:pPr>
      <w:r w:rsidRPr="001F1978">
        <w:rPr>
          <w:rFonts w:ascii="Garamond" w:hAnsi="Garamond" w:cs="Times-Roman"/>
          <w:sz w:val="28"/>
          <w:szCs w:val="28"/>
        </w:rPr>
        <w:t>□</w:t>
      </w:r>
      <w:r w:rsidRPr="0054233B">
        <w:rPr>
          <w:rFonts w:ascii="Garamond" w:hAnsi="Garamond" w:cs="Times-Roman"/>
        </w:rPr>
        <w:t xml:space="preserve">   dei servizi sociali;</w:t>
      </w:r>
    </w:p>
    <w:p w:rsidR="007D02B9" w:rsidRPr="0054233B" w:rsidRDefault="007D02B9" w:rsidP="007D02B9">
      <w:pPr>
        <w:autoSpaceDE w:val="0"/>
        <w:autoSpaceDN w:val="0"/>
        <w:adjustRightInd w:val="0"/>
        <w:spacing w:after="0" w:line="240" w:lineRule="auto"/>
        <w:jc w:val="both"/>
        <w:rPr>
          <w:rFonts w:ascii="Garamond" w:hAnsi="Garamond" w:cs="Times-Roman"/>
        </w:rPr>
      </w:pPr>
      <w:r w:rsidRPr="001F1978">
        <w:rPr>
          <w:rFonts w:ascii="Garamond" w:hAnsi="Garamond" w:cs="Times-Roman"/>
          <w:sz w:val="28"/>
          <w:szCs w:val="28"/>
        </w:rPr>
        <w:t>□</w:t>
      </w:r>
      <w:r w:rsidRPr="0054233B">
        <w:rPr>
          <w:rFonts w:ascii="Garamond" w:hAnsi="Garamond" w:cs="Times-Roman"/>
        </w:rPr>
        <w:t xml:space="preserve">   economico-finanziario;</w:t>
      </w:r>
    </w:p>
    <w:p w:rsidR="007D02B9" w:rsidRPr="0054233B" w:rsidRDefault="007D02B9" w:rsidP="007D02B9">
      <w:pPr>
        <w:autoSpaceDE w:val="0"/>
        <w:autoSpaceDN w:val="0"/>
        <w:adjustRightInd w:val="0"/>
        <w:spacing w:after="0" w:line="240" w:lineRule="auto"/>
        <w:jc w:val="both"/>
        <w:rPr>
          <w:rFonts w:ascii="Garamond" w:hAnsi="Garamond" w:cs="Times-Roman"/>
        </w:rPr>
      </w:pPr>
      <w:r w:rsidRPr="001F1978">
        <w:rPr>
          <w:rFonts w:ascii="Garamond" w:hAnsi="Garamond" w:cs="Times-Roman"/>
          <w:sz w:val="28"/>
          <w:szCs w:val="28"/>
        </w:rPr>
        <w:t xml:space="preserve">□ </w:t>
      </w:r>
      <w:r w:rsidRPr="0054233B">
        <w:rPr>
          <w:rFonts w:ascii="Garamond" w:hAnsi="Garamond" w:cs="Times-Roman"/>
        </w:rPr>
        <w:t xml:space="preserve">  informatico;</w:t>
      </w:r>
    </w:p>
    <w:p w:rsidR="007D02B9" w:rsidRPr="0054233B" w:rsidRDefault="007D02B9" w:rsidP="007D02B9">
      <w:pPr>
        <w:autoSpaceDE w:val="0"/>
        <w:autoSpaceDN w:val="0"/>
        <w:adjustRightInd w:val="0"/>
        <w:spacing w:after="0" w:line="240" w:lineRule="auto"/>
        <w:jc w:val="both"/>
        <w:rPr>
          <w:rFonts w:ascii="Garamond" w:hAnsi="Garamond" w:cs="Times-Roman"/>
        </w:rPr>
      </w:pPr>
      <w:r w:rsidRPr="001F1978">
        <w:rPr>
          <w:rFonts w:ascii="Garamond" w:hAnsi="Garamond" w:cs="Times-Roman"/>
          <w:sz w:val="28"/>
          <w:szCs w:val="28"/>
        </w:rPr>
        <w:t xml:space="preserve">□ </w:t>
      </w:r>
      <w:r w:rsidRPr="0054233B">
        <w:rPr>
          <w:rFonts w:ascii="Garamond" w:hAnsi="Garamond" w:cs="Times-Roman"/>
        </w:rPr>
        <w:t xml:space="preserve">  legale, assicurativo e bancario;</w:t>
      </w:r>
    </w:p>
    <w:p w:rsidR="007D02B9" w:rsidRPr="0054233B" w:rsidRDefault="007D02B9" w:rsidP="007D02B9">
      <w:pPr>
        <w:autoSpaceDE w:val="0"/>
        <w:autoSpaceDN w:val="0"/>
        <w:adjustRightInd w:val="0"/>
        <w:spacing w:after="0" w:line="240" w:lineRule="auto"/>
        <w:jc w:val="both"/>
        <w:rPr>
          <w:rFonts w:ascii="Garamond" w:hAnsi="Garamond" w:cs="Times-Roman"/>
        </w:rPr>
      </w:pPr>
      <w:r w:rsidRPr="001F1978">
        <w:rPr>
          <w:rFonts w:ascii="Garamond" w:hAnsi="Garamond" w:cs="Times-Roman"/>
          <w:sz w:val="28"/>
          <w:szCs w:val="28"/>
        </w:rPr>
        <w:t xml:space="preserve">□ </w:t>
      </w:r>
      <w:r w:rsidRPr="0054233B">
        <w:rPr>
          <w:rFonts w:ascii="Garamond" w:hAnsi="Garamond" w:cs="Times-Roman"/>
        </w:rPr>
        <w:t xml:space="preserve">  altri servizi.</w:t>
      </w:r>
    </w:p>
    <w:p w:rsidR="00DF04CE" w:rsidRDefault="00DF04CE" w:rsidP="007D02B9">
      <w:pPr>
        <w:spacing w:after="0" w:line="240" w:lineRule="auto"/>
        <w:rPr>
          <w:rFonts w:ascii="Garamond" w:hAnsi="Garamond"/>
        </w:rPr>
      </w:pPr>
    </w:p>
    <w:p w:rsidR="00E302A8" w:rsidRPr="0054233B" w:rsidRDefault="00925B0D" w:rsidP="007D02B9">
      <w:pPr>
        <w:spacing w:after="0" w:line="240" w:lineRule="auto"/>
        <w:rPr>
          <w:rFonts w:ascii="Garamond" w:hAnsi="Garamond"/>
        </w:rPr>
      </w:pPr>
      <w:r w:rsidRPr="0054233B">
        <w:rPr>
          <w:rFonts w:ascii="Garamond" w:hAnsi="Garamond"/>
        </w:rPr>
        <w:t>A tal fine, ai sensi degli artt. 46 e 47 del D.P.R. n. 445/2000, consapevole delle sanzioni penali</w:t>
      </w:r>
      <w:r w:rsidR="00E915BC" w:rsidRPr="0054233B">
        <w:rPr>
          <w:rFonts w:ascii="Garamond" w:hAnsi="Garamond"/>
        </w:rPr>
        <w:t xml:space="preserve"> </w:t>
      </w:r>
      <w:r w:rsidR="00E302A8" w:rsidRPr="0054233B">
        <w:rPr>
          <w:rFonts w:ascii="Garamond" w:hAnsi="Garamond"/>
        </w:rPr>
        <w:t>previste dall’art.</w:t>
      </w:r>
    </w:p>
    <w:p w:rsidR="00925B0D" w:rsidRPr="0054233B" w:rsidRDefault="00925B0D" w:rsidP="007D02B9">
      <w:pPr>
        <w:spacing w:after="0" w:line="240" w:lineRule="auto"/>
        <w:rPr>
          <w:rFonts w:ascii="Garamond" w:hAnsi="Garamond"/>
        </w:rPr>
      </w:pPr>
      <w:r w:rsidRPr="0054233B">
        <w:rPr>
          <w:rFonts w:ascii="Garamond" w:hAnsi="Garamond"/>
        </w:rPr>
        <w:t xml:space="preserve">76 del D.P.R. n. 445/2000, per le ipotesi di dichiarazioni mendaci, il sottoscritto </w:t>
      </w:r>
    </w:p>
    <w:p w:rsidR="007D02B9" w:rsidRPr="0054233B" w:rsidRDefault="007D02B9" w:rsidP="007D02B9">
      <w:pPr>
        <w:spacing w:after="0" w:line="240" w:lineRule="auto"/>
        <w:rPr>
          <w:rFonts w:ascii="Garamond" w:hAnsi="Garamond"/>
        </w:rPr>
      </w:pPr>
    </w:p>
    <w:p w:rsidR="00735FFD" w:rsidRPr="0054233B" w:rsidRDefault="00735FFD" w:rsidP="00735FFD">
      <w:pPr>
        <w:pStyle w:val="Default"/>
        <w:jc w:val="center"/>
        <w:rPr>
          <w:rFonts w:ascii="Garamond" w:hAnsi="Garamond"/>
          <w:b/>
          <w:color w:val="auto"/>
          <w:sz w:val="22"/>
          <w:szCs w:val="22"/>
        </w:rPr>
      </w:pPr>
      <w:r w:rsidRPr="0054233B">
        <w:rPr>
          <w:rFonts w:ascii="Garamond" w:hAnsi="Garamond"/>
          <w:b/>
          <w:color w:val="auto"/>
          <w:sz w:val="22"/>
          <w:szCs w:val="22"/>
        </w:rPr>
        <w:t>DICHIARA</w:t>
      </w:r>
    </w:p>
    <w:p w:rsidR="007D02B9" w:rsidRPr="0054233B" w:rsidRDefault="007D02B9" w:rsidP="00735FFD">
      <w:pPr>
        <w:pStyle w:val="Default"/>
        <w:jc w:val="center"/>
        <w:rPr>
          <w:rFonts w:ascii="Garamond" w:hAnsi="Garamond"/>
          <w:b/>
          <w:color w:val="auto"/>
          <w:sz w:val="22"/>
          <w:szCs w:val="22"/>
        </w:rPr>
      </w:pPr>
    </w:p>
    <w:p w:rsidR="00735FFD" w:rsidRPr="0054233B" w:rsidRDefault="00735FFD" w:rsidP="00735FFD">
      <w:pPr>
        <w:pStyle w:val="Default"/>
        <w:numPr>
          <w:ilvl w:val="0"/>
          <w:numId w:val="5"/>
        </w:numPr>
        <w:jc w:val="both"/>
        <w:rPr>
          <w:rFonts w:ascii="Garamond" w:hAnsi="Garamond"/>
          <w:sz w:val="22"/>
          <w:szCs w:val="22"/>
        </w:rPr>
      </w:pPr>
      <w:r w:rsidRPr="0054233B">
        <w:rPr>
          <w:rFonts w:ascii="Garamond" w:hAnsi="Garamond"/>
          <w:b/>
          <w:sz w:val="22"/>
          <w:szCs w:val="22"/>
        </w:rPr>
        <w:t xml:space="preserve">l’inesistenza delle cause di esclusione come individuate nelle Linee guida </w:t>
      </w:r>
      <w:proofErr w:type="spellStart"/>
      <w:r w:rsidRPr="0054233B">
        <w:rPr>
          <w:rFonts w:ascii="Garamond" w:hAnsi="Garamond"/>
          <w:b/>
          <w:sz w:val="22"/>
          <w:szCs w:val="22"/>
        </w:rPr>
        <w:t>Anac</w:t>
      </w:r>
      <w:proofErr w:type="spellEnd"/>
      <w:r w:rsidRPr="0054233B">
        <w:rPr>
          <w:rFonts w:ascii="Garamond" w:hAnsi="Garamond"/>
          <w:b/>
          <w:sz w:val="22"/>
          <w:szCs w:val="22"/>
        </w:rPr>
        <w:t xml:space="preserve"> n. 5 e succ. aggiornamenti, al punto 3.1, ovvero ¹ :</w:t>
      </w:r>
    </w:p>
    <w:p w:rsidR="00735FFD" w:rsidRPr="0054233B" w:rsidRDefault="00735FFD" w:rsidP="00735FFD">
      <w:pPr>
        <w:pStyle w:val="Default"/>
        <w:ind w:left="360"/>
        <w:jc w:val="both"/>
        <w:rPr>
          <w:rFonts w:ascii="Garamond" w:hAnsi="Garamond"/>
          <w:sz w:val="22"/>
          <w:szCs w:val="22"/>
        </w:rPr>
      </w:pPr>
    </w:p>
    <w:p w:rsidR="00735FFD" w:rsidRPr="0054233B" w:rsidRDefault="00735FFD" w:rsidP="00735FFD">
      <w:pPr>
        <w:pStyle w:val="Paragrafoelenco"/>
        <w:numPr>
          <w:ilvl w:val="0"/>
          <w:numId w:val="7"/>
        </w:numPr>
        <w:spacing w:line="240" w:lineRule="auto"/>
        <w:jc w:val="both"/>
        <w:rPr>
          <w:rFonts w:ascii="Garamond" w:hAnsi="Garamond" w:cs="Calibri"/>
          <w:color w:val="000000"/>
        </w:rPr>
      </w:pPr>
      <w:r w:rsidRPr="0054233B">
        <w:rPr>
          <w:rFonts w:ascii="Garamond" w:hAnsi="Garamond"/>
        </w:rPr>
        <w:t>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di non aver riportato,</w:t>
      </w:r>
      <w:r w:rsidRPr="0054233B">
        <w:rPr>
          <w:rFonts w:ascii="Garamond" w:hAnsi="Garamond" w:cs="Calibri"/>
          <w:color w:val="000000"/>
        </w:rPr>
        <w:t xml:space="preserve">per   il  porto,  il  trasporto  e  la  detenzione  di  armi,  munizioni  o  materie  esplodenti,  o  per  il  delitto  di  favoreggiamento  personale  o  reale  commesso in relazione a taluno dei predetti reati, </w:t>
      </w:r>
      <w:r w:rsidRPr="0054233B">
        <w:rPr>
          <w:rFonts w:ascii="Garamond" w:hAnsi="Garamond"/>
        </w:rPr>
        <w:t>la   pena  della  reclusione pari o superiore ad un anno;</w:t>
      </w:r>
    </w:p>
    <w:p w:rsidR="00735FFD" w:rsidRPr="0054233B" w:rsidRDefault="00735FFD" w:rsidP="00735FFD">
      <w:pPr>
        <w:pStyle w:val="Default"/>
        <w:numPr>
          <w:ilvl w:val="0"/>
          <w:numId w:val="7"/>
        </w:numPr>
        <w:jc w:val="both"/>
        <w:rPr>
          <w:rFonts w:ascii="Garamond" w:hAnsi="Garamond"/>
          <w:sz w:val="22"/>
          <w:szCs w:val="22"/>
        </w:rPr>
      </w:pPr>
      <w:r w:rsidRPr="0054233B">
        <w:rPr>
          <w:rFonts w:ascii="Garamond" w:hAnsi="Garamond"/>
          <w:sz w:val="22"/>
          <w:szCs w:val="22"/>
        </w:rPr>
        <w:lastRenderedPageBreak/>
        <w:t xml:space="preserve">di non aver   riportato  condanne, anche non definitive, per i delitti, consumati o tentati, previsti dall'articolo 51, commi 3-bis e 3-quater, del codice di procedura penale, diversi da quelli indicati al punto precedente; </w:t>
      </w:r>
    </w:p>
    <w:p w:rsidR="00735FFD" w:rsidRPr="0054233B" w:rsidRDefault="00735FFD" w:rsidP="00735FFD">
      <w:pPr>
        <w:pStyle w:val="Default"/>
        <w:jc w:val="both"/>
        <w:rPr>
          <w:rFonts w:ascii="Garamond" w:hAnsi="Garamond"/>
          <w:sz w:val="22"/>
          <w:szCs w:val="22"/>
        </w:rPr>
      </w:pPr>
    </w:p>
    <w:p w:rsidR="00DF04CE" w:rsidRPr="0054233B" w:rsidRDefault="00DF04CE" w:rsidP="00DF04CE">
      <w:pPr>
        <w:pStyle w:val="Default"/>
        <w:numPr>
          <w:ilvl w:val="0"/>
          <w:numId w:val="6"/>
        </w:numPr>
        <w:jc w:val="both"/>
        <w:rPr>
          <w:rFonts w:ascii="Garamond" w:hAnsi="Garamond"/>
          <w:sz w:val="22"/>
          <w:szCs w:val="22"/>
        </w:rPr>
      </w:pPr>
      <w:r w:rsidRPr="0054233B">
        <w:rPr>
          <w:rFonts w:ascii="Garamond" w:hAnsi="Garamond"/>
          <w:sz w:val="22"/>
          <w:szCs w:val="22"/>
        </w:rPr>
        <w:t xml:space="preserve">di non avere subito condanna, anche con sentenza non passata in giudicato, per uno dei reati previsti dal Capo I del Titolo II del secondo libro del Codice Penale ai sensi dell’art. 35-bis, comma 1, lett. c) del </w:t>
      </w:r>
      <w:proofErr w:type="spellStart"/>
      <w:r w:rsidRPr="0054233B">
        <w:rPr>
          <w:rFonts w:ascii="Garamond" w:hAnsi="Garamond"/>
          <w:sz w:val="22"/>
          <w:szCs w:val="22"/>
        </w:rPr>
        <w:t>Dlgs</w:t>
      </w:r>
      <w:proofErr w:type="spellEnd"/>
      <w:r w:rsidRPr="0054233B">
        <w:rPr>
          <w:rFonts w:ascii="Garamond" w:hAnsi="Garamond"/>
          <w:sz w:val="22"/>
          <w:szCs w:val="22"/>
        </w:rPr>
        <w:t>. N. 165/2001;</w:t>
      </w:r>
    </w:p>
    <w:p w:rsidR="00735FFD" w:rsidRPr="0054233B" w:rsidRDefault="00735FFD" w:rsidP="00735FFD">
      <w:pPr>
        <w:pStyle w:val="Default"/>
        <w:jc w:val="both"/>
        <w:rPr>
          <w:rFonts w:ascii="Garamond" w:hAnsi="Garamond"/>
          <w:sz w:val="22"/>
          <w:szCs w:val="22"/>
        </w:rPr>
      </w:pPr>
    </w:p>
    <w:p w:rsidR="00735FFD" w:rsidRPr="0054233B" w:rsidRDefault="00735FFD" w:rsidP="00735FFD">
      <w:pPr>
        <w:pStyle w:val="Default"/>
        <w:numPr>
          <w:ilvl w:val="0"/>
          <w:numId w:val="7"/>
        </w:numPr>
        <w:jc w:val="both"/>
        <w:rPr>
          <w:rFonts w:ascii="Garamond" w:hAnsi="Garamond"/>
          <w:sz w:val="22"/>
          <w:szCs w:val="22"/>
        </w:rPr>
      </w:pPr>
      <w:r w:rsidRPr="0054233B">
        <w:rPr>
          <w:rFonts w:ascii="Garamond" w:hAnsi="Garamond"/>
          <w:sz w:val="22"/>
          <w:szCs w:val="22"/>
        </w:rPr>
        <w:t xml:space="preserve">di non aver riportato condanna con sentenza definitiva alla pena della reclusione  complessivamente  superiore  a  sei  mesi  per  uno  o  più  delitti  commessi  con  abuso  dei  poteri  o  con  violazione  dei  doveri  inerenti  ad  una  pubblica  funzione  o  a  un  pubblico  servizio diversi da quelli indicati al punto precedente; </w:t>
      </w:r>
    </w:p>
    <w:p w:rsidR="00735FFD" w:rsidRPr="0054233B" w:rsidRDefault="00735FFD" w:rsidP="00735FFD">
      <w:pPr>
        <w:pStyle w:val="Default"/>
        <w:jc w:val="both"/>
        <w:rPr>
          <w:rFonts w:ascii="Garamond" w:hAnsi="Garamond"/>
          <w:sz w:val="22"/>
          <w:szCs w:val="22"/>
        </w:rPr>
      </w:pPr>
    </w:p>
    <w:p w:rsidR="00735FFD" w:rsidRPr="0054233B" w:rsidRDefault="00735FFD" w:rsidP="00735FFD">
      <w:pPr>
        <w:pStyle w:val="Default"/>
        <w:numPr>
          <w:ilvl w:val="0"/>
          <w:numId w:val="7"/>
        </w:numPr>
        <w:jc w:val="both"/>
        <w:rPr>
          <w:rFonts w:ascii="Garamond" w:hAnsi="Garamond"/>
          <w:sz w:val="22"/>
          <w:szCs w:val="22"/>
        </w:rPr>
      </w:pPr>
      <w:r w:rsidRPr="0054233B">
        <w:rPr>
          <w:rFonts w:ascii="Garamond" w:hAnsi="Garamond"/>
          <w:sz w:val="22"/>
          <w:szCs w:val="22"/>
        </w:rPr>
        <w:t xml:space="preserve">di non aver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 </w:t>
      </w:r>
    </w:p>
    <w:p w:rsidR="00735FFD" w:rsidRPr="0054233B" w:rsidRDefault="00735FFD" w:rsidP="00735FFD">
      <w:pPr>
        <w:pStyle w:val="Default"/>
        <w:jc w:val="both"/>
        <w:rPr>
          <w:rFonts w:ascii="Garamond" w:hAnsi="Garamond"/>
          <w:sz w:val="22"/>
          <w:szCs w:val="22"/>
        </w:rPr>
      </w:pPr>
    </w:p>
    <w:p w:rsidR="00735FFD" w:rsidRPr="0054233B" w:rsidRDefault="00735FFD" w:rsidP="00735FFD">
      <w:pPr>
        <w:pStyle w:val="Default"/>
        <w:numPr>
          <w:ilvl w:val="0"/>
          <w:numId w:val="7"/>
        </w:numPr>
        <w:jc w:val="both"/>
        <w:rPr>
          <w:rFonts w:ascii="Garamond" w:hAnsi="Garamond"/>
          <w:sz w:val="22"/>
          <w:szCs w:val="22"/>
        </w:rPr>
      </w:pPr>
      <w:r w:rsidRPr="0054233B">
        <w:rPr>
          <w:rFonts w:ascii="Garamond" w:hAnsi="Garamond"/>
          <w:sz w:val="22"/>
          <w:szCs w:val="22"/>
        </w:rPr>
        <w:t xml:space="preserve">di non aver riportato condanna con sentenza definitiva ad una pena pari o superiore a due anni di reclusione per delitto non colposo; </w:t>
      </w:r>
    </w:p>
    <w:p w:rsidR="00735FFD" w:rsidRPr="0054233B" w:rsidRDefault="00735FFD" w:rsidP="00735FFD">
      <w:pPr>
        <w:pStyle w:val="Default"/>
        <w:ind w:left="1080"/>
        <w:jc w:val="both"/>
        <w:rPr>
          <w:rFonts w:ascii="Garamond" w:hAnsi="Garamond"/>
          <w:sz w:val="22"/>
          <w:szCs w:val="22"/>
        </w:rPr>
      </w:pPr>
    </w:p>
    <w:p w:rsidR="00735FFD" w:rsidRPr="0054233B" w:rsidRDefault="00735FFD" w:rsidP="00735FFD">
      <w:pPr>
        <w:pStyle w:val="Default"/>
        <w:numPr>
          <w:ilvl w:val="0"/>
          <w:numId w:val="7"/>
        </w:numPr>
        <w:jc w:val="both"/>
        <w:rPr>
          <w:rFonts w:ascii="Garamond" w:hAnsi="Garamond"/>
          <w:sz w:val="22"/>
          <w:szCs w:val="22"/>
        </w:rPr>
      </w:pPr>
      <w:r w:rsidRPr="0054233B">
        <w:rPr>
          <w:rFonts w:ascii="Garamond" w:hAnsi="Garamond"/>
          <w:sz w:val="22"/>
          <w:szCs w:val="22"/>
        </w:rPr>
        <w:t>di non aver riportato l’applicazione, con provvedimento del tribunale anche  non  definitivo,  di una  misura  di  prevenzione,  in  quanto  indiziato  di  appartenere  ad  una  delle associazioni  di  cui  all'articolo  4,  comma  1,  lettere  a)  e  b),  del  decreto  legislativo  6  settembre 2011, n. 159;</w:t>
      </w:r>
    </w:p>
    <w:p w:rsidR="00735FFD" w:rsidRPr="0054233B" w:rsidRDefault="00735FFD" w:rsidP="00735FFD">
      <w:pPr>
        <w:pStyle w:val="Default"/>
        <w:ind w:left="1080"/>
        <w:jc w:val="both"/>
        <w:rPr>
          <w:rFonts w:ascii="Garamond" w:hAnsi="Garamond"/>
          <w:sz w:val="22"/>
          <w:szCs w:val="22"/>
        </w:rPr>
      </w:pPr>
    </w:p>
    <w:p w:rsidR="00735FFD" w:rsidRPr="0054233B" w:rsidRDefault="00735FFD" w:rsidP="00735FFD">
      <w:pPr>
        <w:pStyle w:val="Default"/>
        <w:numPr>
          <w:ilvl w:val="1"/>
          <w:numId w:val="5"/>
        </w:numPr>
        <w:jc w:val="both"/>
        <w:rPr>
          <w:rFonts w:ascii="Garamond" w:hAnsi="Garamond"/>
          <w:sz w:val="22"/>
          <w:szCs w:val="22"/>
        </w:rPr>
      </w:pPr>
      <w:r w:rsidRPr="0054233B">
        <w:rPr>
          <w:rFonts w:ascii="Garamond" w:hAnsi="Garamond"/>
          <w:sz w:val="22"/>
          <w:szCs w:val="22"/>
        </w:rPr>
        <w:t>di non aver riportato per tutte le cause di esclusione di cui ai punti precedenti sentenza definitiva che disponga l’applicazione della pena su richiesta, ai sensi dell’art. 444 del codice di procedura penale;</w:t>
      </w:r>
    </w:p>
    <w:p w:rsidR="00735FFD" w:rsidRPr="0054233B" w:rsidRDefault="00735FFD" w:rsidP="00735FFD">
      <w:pPr>
        <w:pStyle w:val="Default"/>
        <w:ind w:left="1080"/>
        <w:jc w:val="both"/>
        <w:rPr>
          <w:rFonts w:ascii="Garamond" w:hAnsi="Garamond"/>
          <w:sz w:val="22"/>
          <w:szCs w:val="22"/>
        </w:rPr>
      </w:pPr>
    </w:p>
    <w:p w:rsidR="00735FFD" w:rsidRPr="0054233B" w:rsidRDefault="00735FFD" w:rsidP="00735FFD">
      <w:pPr>
        <w:pStyle w:val="Default"/>
        <w:numPr>
          <w:ilvl w:val="0"/>
          <w:numId w:val="5"/>
        </w:numPr>
        <w:jc w:val="both"/>
        <w:rPr>
          <w:rFonts w:ascii="Garamond" w:hAnsi="Garamond"/>
          <w:b/>
          <w:sz w:val="22"/>
          <w:szCs w:val="22"/>
        </w:rPr>
      </w:pPr>
      <w:r w:rsidRPr="0054233B">
        <w:rPr>
          <w:rFonts w:ascii="Garamond" w:hAnsi="Garamond"/>
          <w:b/>
          <w:sz w:val="22"/>
          <w:szCs w:val="22"/>
        </w:rPr>
        <w:t xml:space="preserve">l’inesistenza delle cause di incompatibilità ed astensione previste dall’art. 77 del codice dei contratti ( D.lgs. N. 50/2016 e </w:t>
      </w:r>
      <w:proofErr w:type="spellStart"/>
      <w:r w:rsidRPr="0054233B">
        <w:rPr>
          <w:rFonts w:ascii="Garamond" w:hAnsi="Garamond"/>
          <w:b/>
          <w:sz w:val="22"/>
          <w:szCs w:val="22"/>
        </w:rPr>
        <w:t>s.m.i.</w:t>
      </w:r>
      <w:proofErr w:type="spellEnd"/>
      <w:r w:rsidRPr="0054233B">
        <w:rPr>
          <w:rFonts w:ascii="Garamond" w:hAnsi="Garamond"/>
          <w:b/>
          <w:sz w:val="22"/>
          <w:szCs w:val="22"/>
        </w:rPr>
        <w:t xml:space="preserve">)e dalle Linee guida </w:t>
      </w:r>
      <w:proofErr w:type="spellStart"/>
      <w:r w:rsidRPr="0054233B">
        <w:rPr>
          <w:rFonts w:ascii="Garamond" w:hAnsi="Garamond"/>
          <w:b/>
          <w:sz w:val="22"/>
          <w:szCs w:val="22"/>
        </w:rPr>
        <w:t>Anac</w:t>
      </w:r>
      <w:proofErr w:type="spellEnd"/>
      <w:r w:rsidRPr="0054233B">
        <w:rPr>
          <w:rFonts w:ascii="Garamond" w:hAnsi="Garamond"/>
          <w:b/>
          <w:sz w:val="22"/>
          <w:szCs w:val="22"/>
        </w:rPr>
        <w:t xml:space="preserve"> n. 5 e successivi aggiornamenti  ed in particolare:</w:t>
      </w:r>
    </w:p>
    <w:p w:rsidR="00735FFD" w:rsidRPr="0054233B" w:rsidRDefault="00735FFD" w:rsidP="00735FFD">
      <w:pPr>
        <w:pStyle w:val="Default"/>
        <w:ind w:left="360"/>
        <w:jc w:val="both"/>
        <w:rPr>
          <w:rFonts w:ascii="Garamond" w:hAnsi="Garamond"/>
          <w:sz w:val="22"/>
          <w:szCs w:val="22"/>
        </w:rPr>
      </w:pPr>
    </w:p>
    <w:p w:rsidR="00735FFD" w:rsidRPr="0054233B" w:rsidRDefault="00735FFD" w:rsidP="00735FFD">
      <w:pPr>
        <w:pStyle w:val="Default"/>
        <w:numPr>
          <w:ilvl w:val="0"/>
          <w:numId w:val="6"/>
        </w:numPr>
        <w:jc w:val="both"/>
        <w:rPr>
          <w:rFonts w:ascii="Garamond" w:hAnsi="Garamond"/>
          <w:sz w:val="22"/>
          <w:szCs w:val="22"/>
        </w:rPr>
      </w:pPr>
      <w:r w:rsidRPr="0054233B">
        <w:rPr>
          <w:rFonts w:ascii="Garamond" w:hAnsi="Garamond"/>
          <w:sz w:val="22"/>
          <w:szCs w:val="22"/>
        </w:rPr>
        <w:t xml:space="preserve">di non aver concorso, in qualità di membro di Commissione giudicatrice, all’approvazione di atti dichiarati illegittimi, con dolo o colpa grave accertata in sede giurisdizionale con sentenza non sospesa; </w:t>
      </w:r>
    </w:p>
    <w:p w:rsidR="00735FFD" w:rsidRPr="0054233B" w:rsidRDefault="00735FFD" w:rsidP="00735FFD">
      <w:pPr>
        <w:pStyle w:val="Default"/>
        <w:jc w:val="both"/>
        <w:rPr>
          <w:rFonts w:ascii="Garamond" w:hAnsi="Garamond"/>
          <w:sz w:val="22"/>
          <w:szCs w:val="22"/>
        </w:rPr>
      </w:pPr>
    </w:p>
    <w:p w:rsidR="00735FFD" w:rsidRPr="0054233B" w:rsidRDefault="00735FFD" w:rsidP="00735FFD">
      <w:pPr>
        <w:pStyle w:val="Default"/>
        <w:numPr>
          <w:ilvl w:val="0"/>
          <w:numId w:val="5"/>
        </w:numPr>
        <w:jc w:val="both"/>
        <w:rPr>
          <w:rFonts w:ascii="Garamond" w:hAnsi="Garamond"/>
          <w:b/>
          <w:sz w:val="22"/>
          <w:szCs w:val="22"/>
        </w:rPr>
      </w:pPr>
      <w:r w:rsidRPr="0054233B">
        <w:rPr>
          <w:rFonts w:ascii="Garamond" w:hAnsi="Garamond"/>
          <w:b/>
          <w:sz w:val="22"/>
          <w:szCs w:val="22"/>
        </w:rPr>
        <w:t>di impegnarsi, qualora in un momento successivo all’assunzione dell’incarico, sopraggiunga una delle condizioni di incompatibilità, astensione ed esclusione di cui alle norme e linee guida citate, ovvero una situazione (o la conoscenza della sussistenza di una situazione) di conflitto di interessi, anche potenziale, a darne notizia agli altri componenti della Commissione e all’Ente e a rinunciare all’incarico;</w:t>
      </w:r>
    </w:p>
    <w:p w:rsidR="00735FFD" w:rsidRPr="0054233B" w:rsidRDefault="00735FFD" w:rsidP="00735FFD">
      <w:pPr>
        <w:pStyle w:val="Default"/>
        <w:ind w:left="360"/>
        <w:jc w:val="both"/>
        <w:rPr>
          <w:rFonts w:ascii="Garamond" w:hAnsi="Garamond"/>
          <w:b/>
          <w:sz w:val="22"/>
          <w:szCs w:val="22"/>
        </w:rPr>
      </w:pPr>
    </w:p>
    <w:p w:rsidR="00735FFD" w:rsidRPr="0054233B" w:rsidRDefault="00735FFD" w:rsidP="00735FFD">
      <w:pPr>
        <w:pStyle w:val="Default"/>
        <w:numPr>
          <w:ilvl w:val="0"/>
          <w:numId w:val="5"/>
        </w:numPr>
        <w:jc w:val="both"/>
        <w:rPr>
          <w:rFonts w:ascii="Garamond" w:hAnsi="Garamond"/>
          <w:b/>
          <w:color w:val="auto"/>
          <w:sz w:val="22"/>
          <w:szCs w:val="22"/>
        </w:rPr>
      </w:pPr>
      <w:r w:rsidRPr="0054233B">
        <w:rPr>
          <w:rFonts w:ascii="Garamond" w:hAnsi="Garamond"/>
          <w:b/>
          <w:color w:val="auto"/>
          <w:sz w:val="22"/>
          <w:szCs w:val="22"/>
        </w:rPr>
        <w:t xml:space="preserve">di essere informato/a che, ai sensi e per gli effetti di cui all’art. 13 del </w:t>
      </w:r>
      <w:proofErr w:type="spellStart"/>
      <w:r w:rsidRPr="0054233B">
        <w:rPr>
          <w:rFonts w:ascii="Garamond" w:hAnsi="Garamond"/>
          <w:b/>
          <w:color w:val="auto"/>
          <w:sz w:val="22"/>
          <w:szCs w:val="22"/>
        </w:rPr>
        <w:t>Dlgs</w:t>
      </w:r>
      <w:proofErr w:type="spellEnd"/>
      <w:r w:rsidRPr="0054233B">
        <w:rPr>
          <w:rFonts w:ascii="Garamond" w:hAnsi="Garamond"/>
          <w:b/>
          <w:color w:val="auto"/>
          <w:sz w:val="22"/>
          <w:szCs w:val="22"/>
        </w:rPr>
        <w:t xml:space="preserve"> 196/2003, i dati personali raccolti saranno trattati, anche con strumenti informatici, esclusivamente nell’ambito del procedimento per il quale la presente dichiarazione viene resa. </w:t>
      </w:r>
    </w:p>
    <w:p w:rsidR="00FB1CB4" w:rsidRDefault="00FB1CB4" w:rsidP="00735FFD">
      <w:pPr>
        <w:pStyle w:val="Default"/>
        <w:jc w:val="both"/>
        <w:rPr>
          <w:rFonts w:ascii="Garamond" w:hAnsi="Garamond"/>
          <w:b/>
          <w:i/>
          <w:color w:val="auto"/>
          <w:sz w:val="22"/>
          <w:szCs w:val="22"/>
        </w:rPr>
      </w:pPr>
    </w:p>
    <w:p w:rsidR="00E93E1E" w:rsidRDefault="00735FFD" w:rsidP="00735FFD">
      <w:pPr>
        <w:pStyle w:val="Default"/>
        <w:jc w:val="both"/>
        <w:rPr>
          <w:rFonts w:ascii="Garamond" w:hAnsi="Garamond"/>
          <w:b/>
          <w:i/>
          <w:color w:val="auto"/>
          <w:sz w:val="22"/>
          <w:szCs w:val="22"/>
        </w:rPr>
      </w:pPr>
      <w:r w:rsidRPr="0054233B">
        <w:rPr>
          <w:rFonts w:ascii="Garamond" w:hAnsi="Garamond"/>
          <w:b/>
          <w:i/>
          <w:color w:val="auto"/>
          <w:sz w:val="22"/>
          <w:szCs w:val="22"/>
        </w:rPr>
        <w:t>Allegare</w:t>
      </w:r>
      <w:r w:rsidR="00E93E1E">
        <w:rPr>
          <w:rFonts w:ascii="Garamond" w:hAnsi="Garamond"/>
          <w:b/>
          <w:i/>
          <w:color w:val="auto"/>
          <w:sz w:val="22"/>
          <w:szCs w:val="22"/>
        </w:rPr>
        <w:t>:</w:t>
      </w:r>
    </w:p>
    <w:p w:rsidR="00E93E1E" w:rsidRDefault="00E93E1E" w:rsidP="00E93E1E">
      <w:pPr>
        <w:pStyle w:val="Default"/>
        <w:numPr>
          <w:ilvl w:val="0"/>
          <w:numId w:val="9"/>
        </w:numPr>
        <w:ind w:left="284" w:hanging="284"/>
        <w:jc w:val="both"/>
        <w:rPr>
          <w:rFonts w:ascii="Garamond" w:hAnsi="Garamond"/>
          <w:b/>
          <w:i/>
          <w:color w:val="auto"/>
          <w:sz w:val="22"/>
          <w:szCs w:val="22"/>
        </w:rPr>
      </w:pPr>
      <w:r>
        <w:rPr>
          <w:rFonts w:ascii="Garamond" w:hAnsi="Garamond"/>
          <w:b/>
          <w:i/>
          <w:color w:val="auto"/>
          <w:sz w:val="22"/>
          <w:szCs w:val="22"/>
        </w:rPr>
        <w:t>curriculum;</w:t>
      </w:r>
      <w:r w:rsidR="00735FFD" w:rsidRPr="0054233B">
        <w:rPr>
          <w:rFonts w:ascii="Garamond" w:hAnsi="Garamond"/>
          <w:b/>
          <w:i/>
          <w:color w:val="auto"/>
          <w:sz w:val="22"/>
          <w:szCs w:val="22"/>
        </w:rPr>
        <w:t xml:space="preserve"> </w:t>
      </w:r>
    </w:p>
    <w:p w:rsidR="00735FFD" w:rsidRDefault="00E93E1E" w:rsidP="00E93E1E">
      <w:pPr>
        <w:pStyle w:val="Default"/>
        <w:numPr>
          <w:ilvl w:val="0"/>
          <w:numId w:val="9"/>
        </w:numPr>
        <w:ind w:left="284" w:hanging="284"/>
        <w:jc w:val="both"/>
        <w:rPr>
          <w:rFonts w:ascii="Garamond" w:hAnsi="Garamond"/>
          <w:b/>
          <w:i/>
          <w:color w:val="auto"/>
          <w:sz w:val="22"/>
          <w:szCs w:val="22"/>
        </w:rPr>
      </w:pPr>
      <w:r w:rsidRPr="0054233B">
        <w:rPr>
          <w:rFonts w:ascii="Garamond" w:hAnsi="Garamond"/>
          <w:b/>
          <w:i/>
          <w:color w:val="auto"/>
          <w:sz w:val="22"/>
          <w:szCs w:val="22"/>
        </w:rPr>
        <w:t>copia del documento di</w:t>
      </w:r>
      <w:r>
        <w:rPr>
          <w:rFonts w:ascii="Garamond" w:hAnsi="Garamond"/>
          <w:b/>
          <w:i/>
          <w:color w:val="auto"/>
          <w:sz w:val="22"/>
          <w:szCs w:val="22"/>
        </w:rPr>
        <w:t xml:space="preserve"> identità  in corso di validità.</w:t>
      </w:r>
    </w:p>
    <w:p w:rsidR="00E93E1E" w:rsidRDefault="00E93E1E" w:rsidP="00E93E1E">
      <w:pPr>
        <w:pStyle w:val="Default"/>
        <w:jc w:val="both"/>
        <w:rPr>
          <w:rFonts w:ascii="Garamond" w:hAnsi="Garamond"/>
          <w:b/>
          <w:color w:val="auto"/>
          <w:sz w:val="22"/>
          <w:szCs w:val="22"/>
        </w:rPr>
      </w:pPr>
    </w:p>
    <w:p w:rsidR="00E93E1E" w:rsidRDefault="00E93E1E" w:rsidP="00E93E1E">
      <w:pPr>
        <w:pStyle w:val="Default"/>
        <w:jc w:val="both"/>
        <w:rPr>
          <w:rFonts w:ascii="Garamond" w:hAnsi="Garamond"/>
          <w:b/>
          <w:color w:val="auto"/>
          <w:sz w:val="22"/>
          <w:szCs w:val="22"/>
        </w:rPr>
      </w:pPr>
      <w:r w:rsidRPr="0054233B">
        <w:rPr>
          <w:rFonts w:ascii="Garamond" w:hAnsi="Garamond"/>
          <w:b/>
          <w:color w:val="auto"/>
          <w:sz w:val="22"/>
          <w:szCs w:val="22"/>
        </w:rPr>
        <w:t xml:space="preserve">( luogo e data ) </w:t>
      </w:r>
    </w:p>
    <w:p w:rsidR="00735FFD" w:rsidRPr="00DF04CE" w:rsidRDefault="00735FFD" w:rsidP="00DF04CE">
      <w:pPr>
        <w:pStyle w:val="Default"/>
        <w:ind w:left="4956" w:firstLine="708"/>
        <w:jc w:val="center"/>
        <w:rPr>
          <w:rFonts w:ascii="Garamond" w:hAnsi="Garamond"/>
          <w:b/>
          <w:color w:val="auto"/>
          <w:sz w:val="22"/>
          <w:szCs w:val="22"/>
        </w:rPr>
      </w:pPr>
      <w:r w:rsidRPr="0054233B">
        <w:rPr>
          <w:rFonts w:ascii="Garamond" w:hAnsi="Garamond"/>
          <w:b/>
          <w:color w:val="auto"/>
          <w:sz w:val="22"/>
          <w:szCs w:val="22"/>
        </w:rPr>
        <w:t>( Il dichiarante )</w:t>
      </w:r>
    </w:p>
    <w:sectPr w:rsidR="00735FFD" w:rsidRPr="00DF04CE" w:rsidSect="005A55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749"/>
    <w:multiLevelType w:val="hybridMultilevel"/>
    <w:tmpl w:val="643E1166"/>
    <w:lvl w:ilvl="0" w:tplc="076631F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56D28DA"/>
    <w:multiLevelType w:val="hybridMultilevel"/>
    <w:tmpl w:val="F6B40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F00255"/>
    <w:multiLevelType w:val="hybridMultilevel"/>
    <w:tmpl w:val="4134D2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F72A04"/>
    <w:multiLevelType w:val="hybridMultilevel"/>
    <w:tmpl w:val="1C96F06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E7E5062"/>
    <w:multiLevelType w:val="hybridMultilevel"/>
    <w:tmpl w:val="1E702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E642F0"/>
    <w:multiLevelType w:val="hybridMultilevel"/>
    <w:tmpl w:val="7FB8324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E060CD7"/>
    <w:multiLevelType w:val="hybridMultilevel"/>
    <w:tmpl w:val="94585B4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53A5971"/>
    <w:multiLevelType w:val="hybridMultilevel"/>
    <w:tmpl w:val="3D5EB6BE"/>
    <w:lvl w:ilvl="0" w:tplc="8EA6D7F4">
      <w:start w:val="76"/>
      <w:numFmt w:val="bullet"/>
      <w:lvlText w:val="-"/>
      <w:lvlJc w:val="left"/>
      <w:pPr>
        <w:ind w:left="720" w:hanging="360"/>
      </w:pPr>
      <w:rPr>
        <w:rFonts w:ascii="Garamond" w:eastAsiaTheme="minorEastAsia"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ED5CB6"/>
    <w:multiLevelType w:val="hybridMultilevel"/>
    <w:tmpl w:val="F782D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5"/>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25B0D"/>
    <w:rsid w:val="00066AAD"/>
    <w:rsid w:val="000C71EB"/>
    <w:rsid w:val="001F1978"/>
    <w:rsid w:val="00304598"/>
    <w:rsid w:val="00381769"/>
    <w:rsid w:val="0054233B"/>
    <w:rsid w:val="005A555C"/>
    <w:rsid w:val="005E183F"/>
    <w:rsid w:val="006C4041"/>
    <w:rsid w:val="00731ABF"/>
    <w:rsid w:val="00735FFD"/>
    <w:rsid w:val="007D02B9"/>
    <w:rsid w:val="008576C8"/>
    <w:rsid w:val="00925B0D"/>
    <w:rsid w:val="00A15DA3"/>
    <w:rsid w:val="00A72FDC"/>
    <w:rsid w:val="00AB50B9"/>
    <w:rsid w:val="00D20BDB"/>
    <w:rsid w:val="00DE50D3"/>
    <w:rsid w:val="00DF04CE"/>
    <w:rsid w:val="00E302A8"/>
    <w:rsid w:val="00E915BC"/>
    <w:rsid w:val="00E93E1E"/>
    <w:rsid w:val="00F131C3"/>
    <w:rsid w:val="00FB1C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55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AB50B9"/>
    <w:pPr>
      <w:tabs>
        <w:tab w:val="center" w:pos="4819"/>
        <w:tab w:val="right" w:pos="9638"/>
      </w:tabs>
      <w:suppressAutoHyphens/>
      <w:spacing w:after="0" w:line="240" w:lineRule="auto"/>
    </w:pPr>
    <w:rPr>
      <w:rFonts w:ascii="Times New Roman" w:eastAsia="Times New Roman" w:hAnsi="Times New Roman"/>
      <w:sz w:val="24"/>
      <w:szCs w:val="24"/>
      <w:lang w:eastAsia="ar-SA"/>
    </w:rPr>
  </w:style>
  <w:style w:type="character" w:customStyle="1" w:styleId="IntestazioneCarattere">
    <w:name w:val="Intestazione Carattere"/>
    <w:basedOn w:val="Carpredefinitoparagrafo"/>
    <w:link w:val="Intestazione"/>
    <w:semiHidden/>
    <w:rsid w:val="00AB50B9"/>
    <w:rPr>
      <w:rFonts w:ascii="Times New Roman" w:eastAsia="Times New Roman" w:hAnsi="Times New Roman"/>
      <w:sz w:val="24"/>
      <w:szCs w:val="24"/>
      <w:lang w:eastAsia="ar-SA"/>
    </w:rPr>
  </w:style>
  <w:style w:type="paragraph" w:customStyle="1" w:styleId="qowt-li-40">
    <w:name w:val="qowt-li-4_0"/>
    <w:basedOn w:val="Normale"/>
    <w:rsid w:val="00F131C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735FFD"/>
    <w:pPr>
      <w:autoSpaceDE w:val="0"/>
      <w:autoSpaceDN w:val="0"/>
      <w:adjustRightInd w:val="0"/>
    </w:pPr>
    <w:rPr>
      <w:rFonts w:eastAsiaTheme="minorEastAsia" w:cs="Calibri"/>
      <w:color w:val="000000"/>
      <w:sz w:val="24"/>
      <w:szCs w:val="24"/>
    </w:rPr>
  </w:style>
  <w:style w:type="paragraph" w:styleId="Paragrafoelenco">
    <w:name w:val="List Paragraph"/>
    <w:basedOn w:val="Normale"/>
    <w:uiPriority w:val="34"/>
    <w:qFormat/>
    <w:rsid w:val="00735FFD"/>
    <w:pPr>
      <w:ind w:left="720"/>
      <w:contextualSpacing/>
    </w:pPr>
    <w:rPr>
      <w:rFonts w:asciiTheme="minorHAnsi" w:eastAsiaTheme="minorEastAsia" w:hAnsiTheme="minorHAnsi" w:cstheme="minorBidi"/>
      <w:lang w:eastAsia="it-IT"/>
    </w:rPr>
  </w:style>
  <w:style w:type="character" w:styleId="Collegamentoipertestuale">
    <w:name w:val="Hyperlink"/>
    <w:basedOn w:val="Carpredefinitoparagrafo"/>
    <w:uiPriority w:val="99"/>
    <w:unhideWhenUsed/>
    <w:rsid w:val="007D0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a@pec.cittametropolitana.r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F4BE-3B7B-4F30-8B92-D74A5905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1012</Words>
  <Characters>5772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Giovanni</cp:lastModifiedBy>
  <cp:revision>7</cp:revision>
  <cp:lastPrinted>2019-09-16T10:44:00Z</cp:lastPrinted>
  <dcterms:created xsi:type="dcterms:W3CDTF">2019-09-13T11:54:00Z</dcterms:created>
  <dcterms:modified xsi:type="dcterms:W3CDTF">2019-09-16T15:03:00Z</dcterms:modified>
</cp:coreProperties>
</file>